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F886" w14:textId="72A94EF8" w:rsidR="000C36F6" w:rsidRPr="00F2485B" w:rsidRDefault="000C36F6" w:rsidP="000C36F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Ref462675860"/>
      <w:r w:rsidRPr="000D7128">
        <w:rPr>
          <w:b/>
          <w:noProof/>
          <w:sz w:val="24"/>
          <w:szCs w:val="24"/>
        </w:rPr>
        <w:t>3GPP TSG-RAN WG4 Meeting#10</w:t>
      </w:r>
      <w:r w:rsidRPr="000D7128">
        <w:rPr>
          <w:rFonts w:hint="eastAsia"/>
          <w:b/>
          <w:noProof/>
          <w:sz w:val="24"/>
          <w:szCs w:val="24"/>
          <w:lang w:eastAsia="ja-JP"/>
        </w:rPr>
        <w:t>8</w:t>
      </w:r>
      <w:r>
        <w:rPr>
          <w:b/>
          <w:noProof/>
          <w:sz w:val="24"/>
          <w:szCs w:val="24"/>
          <w:lang w:eastAsia="ja-JP"/>
        </w:rPr>
        <w:t>bis</w:t>
      </w:r>
      <w:r w:rsidRPr="000D7128">
        <w:rPr>
          <w:b/>
          <w:i/>
          <w:noProof/>
          <w:sz w:val="24"/>
          <w:szCs w:val="24"/>
        </w:rPr>
        <w:tab/>
      </w:r>
      <w:r w:rsidR="00F2485B" w:rsidRPr="00F2485B">
        <w:rPr>
          <w:b/>
          <w:noProof/>
          <w:sz w:val="24"/>
          <w:szCs w:val="24"/>
        </w:rPr>
        <w:t>R4-2315976</w:t>
      </w:r>
    </w:p>
    <w:p w14:paraId="3FA60DF0" w14:textId="05F347B9" w:rsidR="000C36F6" w:rsidRDefault="000C36F6" w:rsidP="000C36F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Xiamen</w:t>
      </w:r>
      <w:r w:rsidRPr="000D712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Pr="000D7128">
        <w:rPr>
          <w:b/>
          <w:sz w:val="24"/>
          <w:szCs w:val="24"/>
        </w:rPr>
        <w:t xml:space="preserve">, </w:t>
      </w:r>
      <w:r w:rsidR="00E42C01">
        <w:rPr>
          <w:b/>
          <w:sz w:val="24"/>
          <w:szCs w:val="24"/>
        </w:rPr>
        <w:t xml:space="preserve">October </w:t>
      </w:r>
      <w:r>
        <w:rPr>
          <w:b/>
          <w:sz w:val="24"/>
          <w:szCs w:val="24"/>
        </w:rPr>
        <w:t>9</w:t>
      </w:r>
      <w:r w:rsidRPr="000D7128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13</w:t>
      </w:r>
      <w:r w:rsidRPr="000D712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Pr="000D7128">
        <w:rPr>
          <w:b/>
          <w:sz w:val="24"/>
          <w:szCs w:val="24"/>
        </w:rPr>
        <w:t xml:space="preserve"> 2023</w:t>
      </w:r>
    </w:p>
    <w:p w14:paraId="612BF82B" w14:textId="03E5BE3F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C66774">
        <w:rPr>
          <w:rFonts w:ascii="Arial" w:hAnsi="Arial"/>
          <w:sz w:val="24"/>
        </w:rPr>
        <w:t>5</w:t>
      </w:r>
      <w:r w:rsidR="000A7FF7">
        <w:rPr>
          <w:rFonts w:ascii="Arial" w:hAnsi="Arial"/>
          <w:sz w:val="24"/>
        </w:rPr>
        <w:t>.</w:t>
      </w:r>
      <w:r w:rsidR="00A157DC">
        <w:rPr>
          <w:rFonts w:ascii="Arial" w:hAnsi="Arial"/>
          <w:sz w:val="24"/>
        </w:rPr>
        <w:t>3</w:t>
      </w:r>
      <w:r w:rsidR="007117BA">
        <w:rPr>
          <w:rFonts w:ascii="Arial" w:hAnsi="Arial"/>
          <w:sz w:val="24"/>
        </w:rPr>
        <w:t>3</w:t>
      </w:r>
      <w:r w:rsidR="000A7FF7">
        <w:rPr>
          <w:rFonts w:ascii="Arial" w:hAnsi="Arial"/>
          <w:sz w:val="24"/>
        </w:rPr>
        <w:t>.</w:t>
      </w:r>
      <w:r w:rsidR="00483962">
        <w:rPr>
          <w:rFonts w:ascii="Arial" w:hAnsi="Arial"/>
          <w:sz w:val="24"/>
        </w:rPr>
        <w:t>2</w:t>
      </w:r>
    </w:p>
    <w:p w14:paraId="6EDC7C2F" w14:textId="644E1775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14:paraId="1B950CDD" w14:textId="067EDE02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127C79">
        <w:rPr>
          <w:rFonts w:ascii="Arial" w:hAnsi="Arial"/>
          <w:color w:val="000000" w:themeColor="text1"/>
          <w:sz w:val="22"/>
        </w:rPr>
        <w:t>mobile</w:t>
      </w:r>
      <w:r w:rsidR="006A3124">
        <w:rPr>
          <w:rFonts w:ascii="Arial" w:hAnsi="Arial"/>
          <w:color w:val="000000" w:themeColor="text1"/>
          <w:sz w:val="22"/>
        </w:rPr>
        <w:t>-</w:t>
      </w:r>
      <w:r w:rsidR="00127C79">
        <w:rPr>
          <w:rFonts w:ascii="Arial" w:hAnsi="Arial"/>
          <w:color w:val="000000" w:themeColor="text1"/>
          <w:sz w:val="22"/>
        </w:rPr>
        <w:t xml:space="preserve">IAB </w:t>
      </w:r>
      <w:r w:rsidR="00465368">
        <w:rPr>
          <w:rFonts w:ascii="Arial" w:hAnsi="Arial"/>
          <w:color w:val="000000" w:themeColor="text1"/>
          <w:sz w:val="22"/>
        </w:rPr>
        <w:t xml:space="preserve">RF requirements </w:t>
      </w:r>
    </w:p>
    <w:p w14:paraId="401B4271" w14:textId="5C4A4014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333B33">
        <w:rPr>
          <w:rFonts w:ascii="Arial" w:hAnsi="Arial"/>
          <w:sz w:val="24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2" w:name="_Ref465963108"/>
      <w:r w:rsidRPr="00785E35">
        <w:t>Introduction</w:t>
      </w:r>
      <w:bookmarkEnd w:id="0"/>
      <w:bookmarkEnd w:id="2"/>
    </w:p>
    <w:p w14:paraId="0D01AAC0" w14:textId="0FACA87D" w:rsidR="00A337EC" w:rsidRDefault="008E314D" w:rsidP="00563E8C">
      <w:pPr>
        <w:spacing w:after="0"/>
      </w:pPr>
      <w:r>
        <w:t>In</w:t>
      </w:r>
      <w:r w:rsidR="00611E16" w:rsidRPr="00320A6B">
        <w:t xml:space="preserve"> RAN#</w:t>
      </w:r>
      <w:r w:rsidR="00611E16">
        <w:t>94e</w:t>
      </w:r>
      <w:r w:rsidR="00611E16" w:rsidRPr="00320A6B">
        <w:t xml:space="preserve">, </w:t>
      </w:r>
      <w:r w:rsidR="00611E16">
        <w:t>the</w:t>
      </w:r>
      <w:r w:rsidR="00611E16" w:rsidRPr="00320A6B">
        <w:t xml:space="preserve"> </w:t>
      </w:r>
      <w:r>
        <w:t xml:space="preserve">work item </w:t>
      </w:r>
      <w:r w:rsidR="00611E16" w:rsidRPr="00320A6B">
        <w:t xml:space="preserve">on </w:t>
      </w:r>
      <w:r w:rsidR="00D124AD">
        <w:t>MIAB</w:t>
      </w:r>
      <w:r w:rsidR="00611E16">
        <w:t xml:space="preserve"> (</w:t>
      </w:r>
      <w:r w:rsidR="00611E16" w:rsidRPr="00320A6B">
        <w:t>Integrated Access and Backhaul</w:t>
      </w:r>
      <w:r w:rsidR="00611E16">
        <w:t>) for NR was a</w:t>
      </w:r>
      <w:r>
        <w:t>pproved</w:t>
      </w:r>
      <w:r w:rsidR="00611E16">
        <w:t xml:space="preserve"> </w:t>
      </w:r>
      <w:r w:rsidR="004C0AED">
        <w:t xml:space="preserve">in </w:t>
      </w:r>
      <w:r w:rsidR="004C0AED" w:rsidRPr="001E67D6">
        <w:rPr>
          <w:lang w:eastAsia="ja-JP"/>
        </w:rPr>
        <w:t>RP-222671</w:t>
      </w:r>
      <w:r w:rsidR="00611E16" w:rsidRPr="00320A6B">
        <w:t>.</w:t>
      </w:r>
      <w:r w:rsidR="00444D1F">
        <w:t xml:space="preserve"> </w:t>
      </w:r>
      <w:r w:rsidR="00A337EC">
        <w:t xml:space="preserve">RAN4 </w:t>
      </w:r>
      <w:r w:rsidR="00E84A39">
        <w:t xml:space="preserve">is expected to study </w:t>
      </w:r>
      <w:r w:rsidR="000A6C0A">
        <w:t xml:space="preserve">impacts on RF </w:t>
      </w:r>
      <w:r w:rsidR="00EA47ED">
        <w:t>and RRM requirements as follows:</w:t>
      </w:r>
    </w:p>
    <w:p w14:paraId="62010863" w14:textId="77777777" w:rsidR="00563E8C" w:rsidRDefault="00563E8C" w:rsidP="00563E8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37EC" w14:paraId="1D83304E" w14:textId="77777777" w:rsidTr="00A337EC">
        <w:tc>
          <w:tcPr>
            <w:tcW w:w="9962" w:type="dxa"/>
          </w:tcPr>
          <w:p w14:paraId="4CE0E2CC" w14:textId="4B9D785F" w:rsidR="00A337EC" w:rsidRPr="000F2308" w:rsidRDefault="00A337EC" w:rsidP="00563E8C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Conduct co-existence study to assess the impact of moving cells. Based on the study outcome, specify RF and RRM requirements and mechanisms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>to enable co-existence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  <w:r w:rsidRPr="000F2308">
              <w:rPr>
                <w:rFonts w:eastAsia="Times New Roman" w:cs="Times New Roman"/>
                <w:lang w:eastAsia="en-US"/>
              </w:rPr>
              <w:t xml:space="preserve"> </w:t>
            </w:r>
          </w:p>
          <w:p w14:paraId="6EE68B84" w14:textId="731FA49B" w:rsidR="00A337EC" w:rsidRPr="00A337EC" w:rsidRDefault="00A337EC" w:rsidP="00563E8C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Specify RRM requirements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 xml:space="preserve">to enable </w:t>
            </w:r>
            <w:r>
              <w:rPr>
                <w:rFonts w:eastAsia="Times New Roman" w:cs="Times New Roman"/>
                <w:lang w:eastAsia="en-US"/>
              </w:rPr>
              <w:t xml:space="preserve">IAB-node </w:t>
            </w:r>
            <w:r w:rsidRPr="000F2308">
              <w:rPr>
                <w:rFonts w:eastAsia="Times New Roman" w:cs="Times New Roman"/>
                <w:lang w:eastAsia="en-US"/>
              </w:rPr>
              <w:t>mobility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</w:p>
        </w:tc>
      </w:tr>
    </w:tbl>
    <w:p w14:paraId="141ADEB6" w14:textId="681348E6" w:rsidR="00444D1F" w:rsidRPr="00A571BB" w:rsidRDefault="00444D1F" w:rsidP="00444D1F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RAN4#10</w:t>
      </w:r>
      <w:r w:rsidR="00536931">
        <w:rPr>
          <w:rFonts w:eastAsia="Times New Roman" w:cs="Times New Roman"/>
          <w:lang w:eastAsia="en-US"/>
        </w:rPr>
        <w:t>8</w:t>
      </w:r>
      <w:r>
        <w:rPr>
          <w:rFonts w:eastAsia="Times New Roman" w:cs="Times New Roman"/>
          <w:lang w:eastAsia="en-US"/>
        </w:rPr>
        <w:t xml:space="preserve">, </w:t>
      </w:r>
      <w:r w:rsidR="00C57275">
        <w:rPr>
          <w:rFonts w:eastAsia="Times New Roman" w:cs="Times New Roman"/>
          <w:lang w:eastAsia="en-US"/>
        </w:rPr>
        <w:t xml:space="preserve">several observations and tentative agreements </w:t>
      </w:r>
      <w:r w:rsidR="003001B8">
        <w:rPr>
          <w:rFonts w:eastAsia="Times New Roman" w:cs="Times New Roman"/>
          <w:lang w:eastAsia="en-US"/>
        </w:rPr>
        <w:t xml:space="preserve">of the coexistence </w:t>
      </w:r>
      <w:r w:rsidR="006F7C28">
        <w:rPr>
          <w:rFonts w:eastAsia="Times New Roman" w:cs="Times New Roman"/>
          <w:lang w:eastAsia="en-US"/>
        </w:rPr>
        <w:t>framework</w:t>
      </w:r>
      <w:r w:rsidR="003001B8">
        <w:rPr>
          <w:rFonts w:eastAsia="Times New Roman" w:cs="Times New Roman"/>
          <w:lang w:eastAsia="en-US"/>
        </w:rPr>
        <w:t xml:space="preserve"> of</w:t>
      </w:r>
      <w:r>
        <w:rPr>
          <w:rFonts w:eastAsia="Times New Roman" w:cs="Times New Roman"/>
          <w:lang w:eastAsia="en-US"/>
        </w:rPr>
        <w:t xml:space="preserve"> Rel-18 mIAB </w:t>
      </w:r>
      <w:r w:rsidR="006F7C28">
        <w:rPr>
          <w:rFonts w:eastAsia="Times New Roman" w:cs="Times New Roman"/>
          <w:lang w:eastAsia="en-US"/>
        </w:rPr>
        <w:t>was carried out</w:t>
      </w:r>
      <w:r w:rsidR="00F66781">
        <w:rPr>
          <w:rFonts w:eastAsia="Times New Roman" w:cs="Times New Roman"/>
          <w:lang w:eastAsia="en-US"/>
        </w:rPr>
        <w:t xml:space="preserve"> and a WF was agreed in [1]</w:t>
      </w:r>
      <w:r>
        <w:rPr>
          <w:rFonts w:eastAsia="Times New Roman" w:cs="Times New Roman"/>
          <w:lang w:eastAsia="en-US"/>
        </w:rPr>
        <w:t xml:space="preserve">. </w:t>
      </w:r>
      <w:r w:rsidR="00F66781">
        <w:rPr>
          <w:rFonts w:eastAsia="Times New Roman" w:cs="Times New Roman"/>
          <w:lang w:eastAsia="en-US"/>
        </w:rPr>
        <w:t xml:space="preserve">In this paper we provide </w:t>
      </w:r>
      <w:r w:rsidR="008F22BC">
        <w:rPr>
          <w:rFonts w:eastAsia="Times New Roman" w:cs="Times New Roman"/>
          <w:lang w:eastAsia="en-US"/>
        </w:rPr>
        <w:t xml:space="preserve">our </w:t>
      </w:r>
      <w:r w:rsidR="00B06EFA">
        <w:rPr>
          <w:rFonts w:eastAsia="Times New Roman" w:cs="Times New Roman"/>
          <w:lang w:eastAsia="en-US"/>
        </w:rPr>
        <w:t>proposals</w:t>
      </w:r>
      <w:r w:rsidR="008F22BC">
        <w:rPr>
          <w:rFonts w:eastAsia="Times New Roman" w:cs="Times New Roman"/>
          <w:lang w:eastAsia="en-US"/>
        </w:rPr>
        <w:t xml:space="preserve"> on </w:t>
      </w:r>
      <w:r w:rsidR="00B06EFA">
        <w:rPr>
          <w:rFonts w:eastAsia="Times New Roman" w:cs="Times New Roman"/>
          <w:lang w:eastAsia="en-US"/>
        </w:rPr>
        <w:t>RF aspects for release 18 mobile IAB</w:t>
      </w:r>
      <w:r w:rsidR="00EC138C">
        <w:rPr>
          <w:rFonts w:eastAsia="Times New Roman" w:cs="Times New Roman"/>
          <w:lang w:eastAsia="en-US"/>
        </w:rPr>
        <w:t>.</w:t>
      </w:r>
      <w:r>
        <w:rPr>
          <w:rFonts w:eastAsia="Times New Roman" w:cs="Times New Roman"/>
          <w:lang w:eastAsia="en-US"/>
        </w:rPr>
        <w:t xml:space="preserve"> </w:t>
      </w:r>
    </w:p>
    <w:p w14:paraId="3AF04752" w14:textId="7CCBBC34" w:rsidR="00390F80" w:rsidRPr="0071572D" w:rsidRDefault="00B678DE" w:rsidP="00CE0B07">
      <w:pPr>
        <w:pStyle w:val="Heading1"/>
      </w:pPr>
      <w:r>
        <w:t xml:space="preserve">Discussion </w:t>
      </w:r>
      <w:r w:rsidR="00AA621F" w:rsidRPr="0071572D">
        <w:rPr>
          <w:b/>
        </w:rPr>
        <w:t xml:space="preserve"> </w:t>
      </w:r>
    </w:p>
    <w:p w14:paraId="2A6823D8" w14:textId="63A8E77F" w:rsidR="0071572D" w:rsidRDefault="0071572D" w:rsidP="0071572D">
      <w:pPr>
        <w:pStyle w:val="Heading2"/>
      </w:pPr>
      <w:r>
        <w:t>Coexistence study</w:t>
      </w:r>
    </w:p>
    <w:p w14:paraId="0C849EFB" w14:textId="77777777" w:rsidR="0071572D" w:rsidRDefault="0071572D" w:rsidP="0071572D">
      <w:pPr>
        <w:rPr>
          <w:lang w:val="en-GB"/>
        </w:rPr>
      </w:pPr>
      <w:r>
        <w:rPr>
          <w:lang w:val="en-GB"/>
        </w:rPr>
        <w:t>In [1] we have agreed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572D" w14:paraId="1EE81FA7" w14:textId="77777777" w:rsidTr="000F30BC">
        <w:tc>
          <w:tcPr>
            <w:tcW w:w="9962" w:type="dxa"/>
          </w:tcPr>
          <w:p w14:paraId="56D3AC8B" w14:textId="77777777" w:rsidR="0071572D" w:rsidRPr="00BB284B" w:rsidRDefault="0071572D" w:rsidP="000F30BC">
            <w:pPr>
              <w:spacing w:after="120"/>
              <w:rPr>
                <w:sz w:val="22"/>
                <w:szCs w:val="28"/>
                <w:lang w:eastAsia="zh-CN"/>
              </w:rPr>
            </w:pPr>
            <w:r w:rsidRPr="00BB284B">
              <w:rPr>
                <w:sz w:val="22"/>
                <w:szCs w:val="28"/>
                <w:lang w:eastAsia="zh-CN"/>
              </w:rPr>
              <w:t>The following proposals have been tentatively agreed (to be confirmed in RAN4#108-bis):</w:t>
            </w:r>
          </w:p>
          <w:p w14:paraId="118F3487" w14:textId="77777777" w:rsidR="0071572D" w:rsidRPr="00BB284B" w:rsidRDefault="0071572D" w:rsidP="000F30BC">
            <w:pPr>
              <w:rPr>
                <w:b/>
                <w:u w:val="single"/>
                <w:lang w:eastAsia="ko-KR"/>
              </w:rPr>
            </w:pPr>
            <w:r w:rsidRPr="00BB284B">
              <w:rPr>
                <w:b/>
                <w:u w:val="single"/>
                <w:lang w:eastAsia="ko-KR"/>
              </w:rPr>
              <w:t>IAB-MT RF requirements</w:t>
            </w:r>
          </w:p>
          <w:p w14:paraId="3DDEE553" w14:textId="77777777" w:rsidR="0071572D" w:rsidRPr="00BB284B" w:rsidRDefault="0071572D" w:rsidP="000F30BC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Times New Roman" w:hAnsi="Times New Roman"/>
                <w:szCs w:val="24"/>
                <w:lang w:eastAsia="zh-CN"/>
              </w:rPr>
            </w:pPr>
            <w:r w:rsidRPr="00BB284B">
              <w:rPr>
                <w:rFonts w:ascii="Times New Roman" w:hAnsi="Times New Roman"/>
                <w:szCs w:val="24"/>
                <w:lang w:eastAsia="zh-CN"/>
              </w:rPr>
              <w:t xml:space="preserve">Reuse the legacy ACLR and ACS for mobile IAB-MT for both FR1 and FR2 </w:t>
            </w:r>
          </w:p>
          <w:p w14:paraId="2B108987" w14:textId="77777777" w:rsidR="0071572D" w:rsidRPr="00BB284B" w:rsidRDefault="0071572D" w:rsidP="000F30BC">
            <w:pPr>
              <w:rPr>
                <w:b/>
                <w:u w:val="single"/>
                <w:lang w:eastAsia="ko-KR"/>
              </w:rPr>
            </w:pPr>
            <w:r w:rsidRPr="00BB284B">
              <w:rPr>
                <w:b/>
                <w:u w:val="single"/>
                <w:lang w:eastAsia="ko-KR"/>
              </w:rPr>
              <w:t>IAB-MT dynamic range</w:t>
            </w:r>
          </w:p>
          <w:p w14:paraId="3478DADB" w14:textId="77777777" w:rsidR="0071572D" w:rsidRPr="00BB284B" w:rsidRDefault="0071572D" w:rsidP="000F30BC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Times New Roman" w:hAnsi="Times New Roman"/>
                <w:szCs w:val="24"/>
                <w:lang w:eastAsia="zh-CN"/>
              </w:rPr>
            </w:pPr>
            <w:r w:rsidRPr="00BB284B">
              <w:rPr>
                <w:rFonts w:ascii="Times New Roman" w:hAnsi="Times New Roman"/>
                <w:szCs w:val="24"/>
                <w:lang w:eastAsia="zh-CN"/>
              </w:rPr>
              <w:t>UE type of Tx dynamic range is needed for mobile IAB-MT.</w:t>
            </w:r>
          </w:p>
          <w:p w14:paraId="1B70E318" w14:textId="77777777" w:rsidR="0071572D" w:rsidRPr="00BB284B" w:rsidRDefault="0071572D" w:rsidP="000F30BC">
            <w:pPr>
              <w:rPr>
                <w:b/>
                <w:u w:val="single"/>
                <w:lang w:eastAsia="ko-KR"/>
              </w:rPr>
            </w:pPr>
            <w:r w:rsidRPr="00BB284B">
              <w:rPr>
                <w:b/>
                <w:u w:val="single"/>
                <w:lang w:eastAsia="ko-KR"/>
              </w:rPr>
              <w:t>Mobile IAB requirements</w:t>
            </w:r>
          </w:p>
          <w:p w14:paraId="54C4D9E6" w14:textId="77777777" w:rsidR="0071572D" w:rsidRPr="00EA7D02" w:rsidRDefault="0071572D" w:rsidP="000F30BC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Times New Roman" w:hAnsi="Times New Roman"/>
                <w:szCs w:val="24"/>
                <w:lang w:eastAsia="zh-CN"/>
              </w:rPr>
            </w:pPr>
            <w:r w:rsidRPr="00BB284B">
              <w:rPr>
                <w:rFonts w:ascii="Times New Roman" w:hAnsi="Times New Roman"/>
                <w:szCs w:val="24"/>
                <w:lang w:eastAsia="zh-CN"/>
              </w:rPr>
              <w:t>Use the local area IAB-MT to specify the mobile IAB feature.</w:t>
            </w:r>
          </w:p>
        </w:tc>
      </w:tr>
    </w:tbl>
    <w:p w14:paraId="4A130E01" w14:textId="77777777" w:rsidR="0071572D" w:rsidRDefault="0071572D" w:rsidP="0071572D">
      <w:pPr>
        <w:rPr>
          <w:lang w:val="en-GB"/>
        </w:rPr>
      </w:pPr>
    </w:p>
    <w:p w14:paraId="580D0904" w14:textId="77777777" w:rsidR="0071572D" w:rsidRDefault="0071572D" w:rsidP="0071572D">
      <w:pPr>
        <w:rPr>
          <w:lang w:val="en-GB"/>
        </w:rPr>
      </w:pPr>
      <w:r>
        <w:rPr>
          <w:lang w:val="en-GB"/>
        </w:rPr>
        <w:t>In [2] we have carried out extensive coexistence analysis to understand the impact of mobile IAB deployment on legacy NR networks where we have observed the following:</w:t>
      </w:r>
    </w:p>
    <w:p w14:paraId="071FB154" w14:textId="77777777" w:rsidR="0071572D" w:rsidRPr="00FF604D" w:rsidRDefault="0071572D" w:rsidP="0071572D">
      <w:pPr>
        <w:pStyle w:val="ListParagraph"/>
        <w:numPr>
          <w:ilvl w:val="0"/>
          <w:numId w:val="34"/>
        </w:numPr>
        <w:spacing w:after="120"/>
        <w:rPr>
          <w:rFonts w:ascii="Times New Roman" w:eastAsia="SimSun" w:hAnsi="Times New Roman"/>
          <w:sz w:val="20"/>
          <w:szCs w:val="20"/>
          <w:lang w:val="en-GB"/>
        </w:rPr>
      </w:pPr>
      <w:r w:rsidRPr="00FF604D">
        <w:rPr>
          <w:rFonts w:ascii="Times New Roman" w:eastAsia="SimSun" w:hAnsi="Times New Roman"/>
          <w:sz w:val="20"/>
          <w:szCs w:val="20"/>
          <w:lang w:val="en-GB"/>
        </w:rPr>
        <w:t>mIAB-MT transmission power of 33 dBm (TRP) is fine to protect the legacy NR BS.</w:t>
      </w:r>
    </w:p>
    <w:p w14:paraId="65E292F1" w14:textId="77777777" w:rsidR="0071572D" w:rsidRPr="00FF604D" w:rsidRDefault="0071572D" w:rsidP="0071572D">
      <w:pPr>
        <w:pStyle w:val="ListParagraph"/>
        <w:numPr>
          <w:ilvl w:val="0"/>
          <w:numId w:val="34"/>
        </w:numPr>
        <w:spacing w:after="120"/>
        <w:rPr>
          <w:rFonts w:ascii="Times New Roman" w:eastAsia="SimSun" w:hAnsi="Times New Roman"/>
          <w:sz w:val="20"/>
          <w:szCs w:val="20"/>
          <w:lang w:val="en-GB"/>
        </w:rPr>
      </w:pPr>
      <w:r w:rsidRPr="00FF604D">
        <w:rPr>
          <w:rFonts w:ascii="Times New Roman" w:eastAsia="SimSun" w:hAnsi="Times New Roman"/>
          <w:sz w:val="20"/>
          <w:szCs w:val="20"/>
          <w:lang w:val="en-GB"/>
        </w:rPr>
        <w:t>Legacy requirements can be reused for mobile IAB.</w:t>
      </w:r>
    </w:p>
    <w:p w14:paraId="402C26EE" w14:textId="77777777" w:rsidR="0071572D" w:rsidRDefault="0071572D" w:rsidP="0071572D">
      <w:pPr>
        <w:rPr>
          <w:lang w:val="en-GB"/>
        </w:rPr>
      </w:pPr>
      <w:r>
        <w:rPr>
          <w:lang w:val="en-GB"/>
        </w:rPr>
        <w:t xml:space="preserve">Given the WF [1] and discussions in RAN4,  we would like to confirm the tentative agreements that have been considered in [1]. </w:t>
      </w:r>
    </w:p>
    <w:p w14:paraId="78DE4A34" w14:textId="77777777" w:rsidR="0071572D" w:rsidRPr="00F75D16" w:rsidRDefault="0071572D" w:rsidP="0071572D">
      <w:pPr>
        <w:rPr>
          <w:b/>
          <w:bCs/>
          <w:lang w:val="en-GB"/>
        </w:rPr>
      </w:pPr>
      <w:r w:rsidRPr="00F75D16">
        <w:rPr>
          <w:b/>
          <w:bCs/>
          <w:u w:val="single"/>
          <w:lang w:val="en-GB"/>
        </w:rPr>
        <w:t>Proposal 1</w:t>
      </w:r>
      <w:r w:rsidRPr="00F75D16">
        <w:rPr>
          <w:b/>
          <w:bCs/>
          <w:lang w:val="en-GB"/>
        </w:rPr>
        <w:t>: Confirm the tentative agreements carried out in RAN4#108, which are the following:</w:t>
      </w:r>
    </w:p>
    <w:p w14:paraId="02D1B39E" w14:textId="77777777" w:rsidR="0071572D" w:rsidRPr="00F75D16" w:rsidRDefault="0071572D" w:rsidP="0071572D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Reuse the legacy ACLR and ACS for mobile IAB-MT for both FR1 and FR2 </w:t>
      </w:r>
    </w:p>
    <w:p w14:paraId="41E4584A" w14:textId="77777777" w:rsidR="0071572D" w:rsidRPr="00F75D16" w:rsidRDefault="0071572D" w:rsidP="0071572D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>UE type of Tx dynamic range is needed for mobile IAB-MT.</w:t>
      </w:r>
    </w:p>
    <w:p w14:paraId="701BE8F2" w14:textId="77777777" w:rsidR="0071572D" w:rsidRDefault="0071572D" w:rsidP="0071572D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t>Use the local area IAB-MT to specify the mobile IAB feature.</w:t>
      </w:r>
    </w:p>
    <w:p w14:paraId="0179E944" w14:textId="77777777" w:rsidR="0071572D" w:rsidRPr="0071572D" w:rsidRDefault="0071572D" w:rsidP="0071572D">
      <w:pPr>
        <w:rPr>
          <w:lang w:val="en-GB"/>
        </w:rPr>
      </w:pPr>
    </w:p>
    <w:p w14:paraId="3E74FAEA" w14:textId="1FBD8FAD" w:rsidR="0071572D" w:rsidRDefault="0071572D">
      <w:pPr>
        <w:pStyle w:val="Heading2"/>
      </w:pPr>
      <w:r>
        <w:t xml:space="preserve">Mobile-IAB requirements in </w:t>
      </w:r>
      <w:r w:rsidR="00B6213A">
        <w:t xml:space="preserve">TS </w:t>
      </w:r>
      <w:r>
        <w:t>38.174</w:t>
      </w:r>
    </w:p>
    <w:p w14:paraId="2A99A804" w14:textId="6D22D073" w:rsidR="0071572D" w:rsidRDefault="00694B1E" w:rsidP="0071572D">
      <w:pPr>
        <w:rPr>
          <w:lang w:val="en-GB"/>
        </w:rPr>
      </w:pPr>
      <w:r>
        <w:rPr>
          <w:lang w:val="en-GB"/>
        </w:rPr>
        <w:t>In [1], RAN4 has agreed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94B1E" w14:paraId="1CD39216" w14:textId="77777777" w:rsidTr="00694B1E">
        <w:tc>
          <w:tcPr>
            <w:tcW w:w="9962" w:type="dxa"/>
          </w:tcPr>
          <w:p w14:paraId="3B9D4E59" w14:textId="7B982317" w:rsidR="00694B1E" w:rsidRDefault="00694B1E" w:rsidP="0071572D">
            <w:pPr>
              <w:rPr>
                <w:lang w:val="en-GB"/>
              </w:rPr>
            </w:pPr>
            <w:r w:rsidRPr="00BB284B">
              <w:rPr>
                <w:sz w:val="22"/>
                <w:szCs w:val="22"/>
              </w:rPr>
              <w:t>Discussion on how to include mobile IAB requirements in TS 38.174.</w:t>
            </w:r>
          </w:p>
        </w:tc>
      </w:tr>
    </w:tbl>
    <w:p w14:paraId="680C0E7D" w14:textId="77777777" w:rsidR="006656E9" w:rsidRDefault="006656E9" w:rsidP="00702721">
      <w:pPr>
        <w:rPr>
          <w:lang w:val="en-GB"/>
        </w:rPr>
      </w:pPr>
    </w:p>
    <w:p w14:paraId="790BBE57" w14:textId="2D77CD4F" w:rsidR="00702721" w:rsidRDefault="00B6213A" w:rsidP="00702721">
      <w:pPr>
        <w:rPr>
          <w:lang w:val="en-GB"/>
        </w:rPr>
      </w:pPr>
      <w:r>
        <w:rPr>
          <w:lang w:val="en-GB"/>
        </w:rPr>
        <w:t xml:space="preserve">Given the proposal in Section 2.1, </w:t>
      </w:r>
      <w:r w:rsidR="008E623A">
        <w:rPr>
          <w:lang w:val="en-GB"/>
        </w:rPr>
        <w:t>several</w:t>
      </w:r>
      <w:r>
        <w:rPr>
          <w:lang w:val="en-GB"/>
        </w:rPr>
        <w:t xml:space="preserve"> </w:t>
      </w:r>
      <w:r w:rsidR="00725695">
        <w:rPr>
          <w:lang w:val="en-GB"/>
        </w:rPr>
        <w:tab/>
      </w:r>
      <w:r>
        <w:rPr>
          <w:lang w:val="en-GB"/>
        </w:rPr>
        <w:t xml:space="preserve">requirements from Local Area IAB-node will be reused for mobile-IAB. It is inefficient to copy and paste all relevant requirements in TS 38.174. As a results, we propose to add </w:t>
      </w:r>
      <w:r w:rsidR="00497CDF">
        <w:rPr>
          <w:lang w:val="en-GB"/>
        </w:rPr>
        <w:t xml:space="preserve">a new section in TS 38.174 to state that </w:t>
      </w:r>
      <w:r w:rsidR="00702721">
        <w:rPr>
          <w:lang w:val="en-GB"/>
        </w:rPr>
        <w:t>r</w:t>
      </w:r>
      <w:r w:rsidR="00702721" w:rsidRPr="00702721">
        <w:rPr>
          <w:lang w:val="en-GB"/>
        </w:rPr>
        <w:t>equirements for mIAB-nodes</w:t>
      </w:r>
      <w:r w:rsidR="00702721">
        <w:rPr>
          <w:lang w:val="en-GB"/>
        </w:rPr>
        <w:t>, u</w:t>
      </w:r>
      <w:r w:rsidR="00702721" w:rsidRPr="00702721">
        <w:rPr>
          <w:lang w:val="en-GB"/>
        </w:rPr>
        <w:t>nless otherwise stated, an mIAB-DU of mIAB-node needs to meet the general requirements for Local Area IAB-DU</w:t>
      </w:r>
      <w:r w:rsidR="00702721">
        <w:rPr>
          <w:lang w:val="en-GB"/>
        </w:rPr>
        <w:t xml:space="preserve">. </w:t>
      </w:r>
      <w:r w:rsidR="008E623A">
        <w:rPr>
          <w:lang w:val="en-GB"/>
        </w:rPr>
        <w:t>Similarly,</w:t>
      </w:r>
      <w:r w:rsidR="00702721">
        <w:rPr>
          <w:lang w:val="en-GB"/>
        </w:rPr>
        <w:t xml:space="preserve"> for </w:t>
      </w:r>
      <w:r w:rsidR="00702721" w:rsidRPr="00702721">
        <w:rPr>
          <w:lang w:val="en-GB"/>
        </w:rPr>
        <w:t>mIAB-MT of mIAB-node needs to meet the general requirements for Local Area IAB-MT</w:t>
      </w:r>
      <w:r w:rsidR="00702721">
        <w:rPr>
          <w:lang w:val="en-GB"/>
        </w:rPr>
        <w:t>.</w:t>
      </w:r>
    </w:p>
    <w:p w14:paraId="464D62C7" w14:textId="706F4891" w:rsidR="00702721" w:rsidRDefault="00702721" w:rsidP="00702721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>Proposal 2</w:t>
      </w:r>
      <w:r w:rsidRPr="000E099E">
        <w:rPr>
          <w:b/>
          <w:bCs/>
          <w:lang w:val="en-GB"/>
        </w:rPr>
        <w:t>; Add a new section in TS 38.174 to state that requirements for mIAB-nodes, unless otherwise stated,</w:t>
      </w:r>
      <w:r w:rsidR="000E099E" w:rsidRPr="000E099E">
        <w:rPr>
          <w:b/>
          <w:bCs/>
          <w:lang w:val="en-GB"/>
        </w:rPr>
        <w:t xml:space="preserve"> follows Local area IAB-node requirements.</w:t>
      </w:r>
    </w:p>
    <w:p w14:paraId="2613067E" w14:textId="43C25768" w:rsidR="000E099E" w:rsidRPr="000E099E" w:rsidRDefault="00AC714F" w:rsidP="00702721">
      <w:pPr>
        <w:rPr>
          <w:lang w:val="en-GB"/>
        </w:rPr>
      </w:pPr>
      <w:r>
        <w:rPr>
          <w:lang w:val="en-GB"/>
        </w:rPr>
        <w:t xml:space="preserve">To allow the inclusion of new requirements that does not follow Local area IAB-node requirements (i.e., Tx dynamic range, RRM requirements), it is proposed to add a new suffix (e.g., A) </w:t>
      </w:r>
      <w:r w:rsidR="008E623A">
        <w:rPr>
          <w:lang w:val="en-GB"/>
        </w:rPr>
        <w:t>like</w:t>
      </w:r>
      <w:r>
        <w:rPr>
          <w:lang w:val="en-GB"/>
        </w:rPr>
        <w:t xml:space="preserve"> what have been done for NR-U or V2X to </w:t>
      </w:r>
      <w:r w:rsidR="005B7A97">
        <w:rPr>
          <w:lang w:val="en-GB"/>
        </w:rPr>
        <w:t xml:space="preserve">add </w:t>
      </w:r>
      <w:r w:rsidR="00CF34D9">
        <w:rPr>
          <w:lang w:val="en-GB"/>
        </w:rPr>
        <w:t xml:space="preserve">new requirements, specific for mobile-IAB. </w:t>
      </w:r>
    </w:p>
    <w:p w14:paraId="4173A01B" w14:textId="3F7DCF5C" w:rsidR="0071572D" w:rsidRDefault="00CF34D9" w:rsidP="0071572D">
      <w:pPr>
        <w:rPr>
          <w:b/>
          <w:bCs/>
          <w:szCs w:val="24"/>
          <w:lang w:eastAsia="zh-CN"/>
        </w:rPr>
      </w:pPr>
      <w:r w:rsidRPr="00CF34D9">
        <w:rPr>
          <w:b/>
          <w:bCs/>
          <w:szCs w:val="24"/>
          <w:u w:val="single"/>
          <w:lang w:eastAsia="zh-CN"/>
        </w:rPr>
        <w:t>Proposal 3</w:t>
      </w:r>
      <w:r w:rsidRPr="00CF34D9">
        <w:rPr>
          <w:b/>
          <w:bCs/>
          <w:szCs w:val="24"/>
          <w:lang w:eastAsia="zh-CN"/>
        </w:rPr>
        <w:t xml:space="preserve">: </w:t>
      </w:r>
      <w:r w:rsidR="0071572D" w:rsidRPr="00CF34D9">
        <w:rPr>
          <w:b/>
          <w:bCs/>
          <w:szCs w:val="24"/>
          <w:lang w:eastAsia="zh-CN"/>
        </w:rPr>
        <w:t>Add related requirements under a suffix (</w:t>
      </w:r>
      <w:r w:rsidR="008E623A" w:rsidRPr="00CF34D9">
        <w:rPr>
          <w:b/>
          <w:bCs/>
          <w:szCs w:val="24"/>
          <w:lang w:eastAsia="zh-CN"/>
        </w:rPr>
        <w:t>e.g.,</w:t>
      </w:r>
      <w:r w:rsidR="0071572D" w:rsidRPr="00CF34D9">
        <w:rPr>
          <w:b/>
          <w:bCs/>
          <w:szCs w:val="24"/>
          <w:lang w:eastAsia="zh-CN"/>
        </w:rPr>
        <w:t xml:space="preserve"> </w:t>
      </w:r>
      <w:r w:rsidR="008E623A">
        <w:rPr>
          <w:b/>
          <w:bCs/>
          <w:szCs w:val="24"/>
          <w:lang w:eastAsia="zh-CN"/>
        </w:rPr>
        <w:t>A</w:t>
      </w:r>
      <w:r w:rsidR="0071572D" w:rsidRPr="00CF34D9">
        <w:rPr>
          <w:b/>
          <w:bCs/>
          <w:szCs w:val="24"/>
          <w:lang w:eastAsia="zh-CN"/>
        </w:rPr>
        <w:t>), similar to what have been done for NR-U and V2X.</w:t>
      </w:r>
    </w:p>
    <w:p w14:paraId="30B6B9B2" w14:textId="7003699C" w:rsidR="006656E9" w:rsidRPr="006656E9" w:rsidRDefault="006656E9" w:rsidP="0071572D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In this meeting, we provide a </w:t>
      </w:r>
    </w:p>
    <w:p w14:paraId="1AB6EF3D" w14:textId="3FB1D8E4" w:rsidR="00E8334F" w:rsidRDefault="00E8334F">
      <w:pPr>
        <w:pStyle w:val="Heading1"/>
      </w:pPr>
      <w:r>
        <w:t>Conclusion</w:t>
      </w:r>
    </w:p>
    <w:p w14:paraId="20D01163" w14:textId="19D6F4DC" w:rsidR="00347368" w:rsidRDefault="00B23BFE" w:rsidP="00347368">
      <w:pPr>
        <w:rPr>
          <w:lang w:val="en-GB"/>
        </w:rPr>
      </w:pPr>
      <w:r>
        <w:rPr>
          <w:lang w:val="en-GB"/>
        </w:rPr>
        <w:t>In this paper, we have shared our initial views on</w:t>
      </w:r>
      <w:r w:rsidR="00CE6125">
        <w:rPr>
          <w:lang w:val="en-GB"/>
        </w:rPr>
        <w:t xml:space="preserve"> </w:t>
      </w:r>
      <w:r w:rsidR="00D124AD">
        <w:rPr>
          <w:lang w:val="en-GB"/>
        </w:rPr>
        <w:t>mIAB</w:t>
      </w:r>
      <w:r w:rsidR="00CE6125">
        <w:rPr>
          <w:lang w:val="en-GB"/>
        </w:rPr>
        <w:t xml:space="preserve"> RAN4 co-existence aspects. Our observations and proposals can be summarized as follows: </w:t>
      </w:r>
    </w:p>
    <w:p w14:paraId="0924AC5A" w14:textId="77777777" w:rsidR="00CF34D9" w:rsidRPr="00F75D16" w:rsidRDefault="00CF34D9" w:rsidP="00CF34D9">
      <w:pPr>
        <w:rPr>
          <w:b/>
          <w:bCs/>
          <w:lang w:val="en-GB"/>
        </w:rPr>
      </w:pPr>
      <w:r w:rsidRPr="00F75D16">
        <w:rPr>
          <w:b/>
          <w:bCs/>
          <w:u w:val="single"/>
          <w:lang w:val="en-GB"/>
        </w:rPr>
        <w:t>Proposal 1</w:t>
      </w:r>
      <w:r w:rsidRPr="00F75D16">
        <w:rPr>
          <w:b/>
          <w:bCs/>
          <w:lang w:val="en-GB"/>
        </w:rPr>
        <w:t>: Confirm the tentative agreements carried out in RAN4#108, which are the following:</w:t>
      </w:r>
    </w:p>
    <w:p w14:paraId="5EF4A74D" w14:textId="77777777" w:rsidR="00CF34D9" w:rsidRPr="00F75D16" w:rsidRDefault="00CF34D9" w:rsidP="00CF34D9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Reuse the legacy ACLR and ACS for mobile IAB-MT for both FR1 and FR2 </w:t>
      </w:r>
    </w:p>
    <w:p w14:paraId="6AC30E0F" w14:textId="77777777" w:rsidR="00CF34D9" w:rsidRDefault="00CF34D9" w:rsidP="00CF34D9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t>UE type of Tx dynamic range is needed for mobile IAB-MT.</w:t>
      </w:r>
    </w:p>
    <w:p w14:paraId="5311DFDF" w14:textId="55C4B1BD" w:rsidR="002E3440" w:rsidRPr="002E3440" w:rsidRDefault="002E3440" w:rsidP="002E3440">
      <w:pPr>
        <w:pStyle w:val="ListParagraph"/>
        <w:numPr>
          <w:ilvl w:val="0"/>
          <w:numId w:val="33"/>
        </w:numPr>
        <w:spacing w:after="12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75D16">
        <w:rPr>
          <w:rFonts w:ascii="Times New Roman" w:hAnsi="Times New Roman"/>
          <w:b/>
          <w:bCs/>
          <w:sz w:val="20"/>
          <w:szCs w:val="20"/>
          <w:lang w:eastAsia="zh-CN"/>
        </w:rPr>
        <w:t>Use the local area IAB-MT to specify the mobile IAB feature.</w:t>
      </w:r>
    </w:p>
    <w:p w14:paraId="5C10A076" w14:textId="77777777" w:rsidR="00CF34D9" w:rsidRPr="00CF34D9" w:rsidRDefault="00CF34D9" w:rsidP="00CF34D9">
      <w:pPr>
        <w:rPr>
          <w:b/>
          <w:bCs/>
          <w:lang w:val="en-GB"/>
        </w:rPr>
      </w:pPr>
      <w:r w:rsidRPr="00CF34D9">
        <w:rPr>
          <w:b/>
          <w:bCs/>
          <w:u w:val="single"/>
          <w:lang w:val="en-GB"/>
        </w:rPr>
        <w:t>Proposal 2</w:t>
      </w:r>
      <w:r w:rsidRPr="00CF34D9">
        <w:rPr>
          <w:b/>
          <w:bCs/>
          <w:lang w:val="en-GB"/>
        </w:rPr>
        <w:t>; Add a new section in TS 38.174 to state that requirements for mIAB-nodes, unless otherwise stated, follows Local area IAB-node requirements.</w:t>
      </w:r>
    </w:p>
    <w:p w14:paraId="1FAF1B24" w14:textId="2116D1F0" w:rsidR="00CF34D9" w:rsidRPr="00F16800" w:rsidRDefault="00CF34D9" w:rsidP="00F16800">
      <w:pPr>
        <w:rPr>
          <w:b/>
          <w:bCs/>
          <w:szCs w:val="24"/>
          <w:lang w:eastAsia="zh-CN"/>
        </w:rPr>
      </w:pPr>
      <w:r w:rsidRPr="00CF34D9">
        <w:rPr>
          <w:b/>
          <w:bCs/>
          <w:szCs w:val="24"/>
          <w:u w:val="single"/>
          <w:lang w:eastAsia="zh-CN"/>
        </w:rPr>
        <w:t>Proposal 3</w:t>
      </w:r>
      <w:r w:rsidRPr="00CF34D9">
        <w:rPr>
          <w:b/>
          <w:bCs/>
          <w:szCs w:val="24"/>
          <w:lang w:eastAsia="zh-CN"/>
        </w:rPr>
        <w:t>: Add related requirements under a suffix (e.g.</w:t>
      </w:r>
      <w:r w:rsidR="00482457">
        <w:rPr>
          <w:b/>
          <w:bCs/>
          <w:szCs w:val="24"/>
          <w:lang w:eastAsia="zh-CN"/>
        </w:rPr>
        <w:t>,</w:t>
      </w:r>
      <w:r w:rsidRPr="00CF34D9">
        <w:rPr>
          <w:b/>
          <w:bCs/>
          <w:szCs w:val="24"/>
          <w:lang w:eastAsia="zh-CN"/>
        </w:rPr>
        <w:t xml:space="preserve"> </w:t>
      </w:r>
      <w:r w:rsidR="00482457">
        <w:rPr>
          <w:b/>
          <w:bCs/>
          <w:szCs w:val="24"/>
          <w:lang w:eastAsia="zh-CN"/>
        </w:rPr>
        <w:t>A</w:t>
      </w:r>
      <w:r w:rsidRPr="00CF34D9">
        <w:rPr>
          <w:b/>
          <w:bCs/>
          <w:szCs w:val="24"/>
          <w:lang w:eastAsia="zh-CN"/>
        </w:rPr>
        <w:t>), similar to what have been done for NR-U and V2X.</w:t>
      </w:r>
    </w:p>
    <w:p w14:paraId="64099BEB" w14:textId="0380A920" w:rsidR="002F77EB" w:rsidRPr="00674B75" w:rsidRDefault="00127F9C" w:rsidP="00CF34D9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3" w:name="_Ref457730460"/>
      <w:bookmarkStart w:id="4" w:name="_Ref450735844"/>
      <w:bookmarkStart w:id="5" w:name="_Ref450342757"/>
    </w:p>
    <w:bookmarkEnd w:id="3"/>
    <w:bookmarkEnd w:id="4"/>
    <w:bookmarkEnd w:id="5"/>
    <w:p w14:paraId="6D0006C5" w14:textId="47B40B18" w:rsidR="00F84A2B" w:rsidRPr="00F84A2B" w:rsidRDefault="003404EE" w:rsidP="00F84A2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lang w:val="en-GB"/>
        </w:rPr>
      </w:pPr>
      <w:r w:rsidRPr="003404EE">
        <w:rPr>
          <w:lang w:val="en-GB"/>
        </w:rPr>
        <w:t>R4-2313901</w:t>
      </w:r>
      <w:r>
        <w:rPr>
          <w:lang w:val="en-GB"/>
        </w:rPr>
        <w:t>,</w:t>
      </w:r>
      <w:r w:rsidR="00F84A2B">
        <w:rPr>
          <w:lang w:val="en-GB"/>
        </w:rPr>
        <w:t xml:space="preserve"> “</w:t>
      </w:r>
      <w:r w:rsidRPr="003404EE">
        <w:rPr>
          <w:lang w:val="en-GB"/>
        </w:rPr>
        <w:t>WF on mobile IAB RF requirements and coexistence</w:t>
      </w:r>
      <w:r w:rsidR="00F84A2B">
        <w:rPr>
          <w:lang w:val="en-GB"/>
        </w:rPr>
        <w:t>”, Qualcomm Inc., RAN4#10</w:t>
      </w:r>
      <w:r>
        <w:rPr>
          <w:lang w:val="en-GB"/>
        </w:rPr>
        <w:t>8</w:t>
      </w:r>
      <w:r w:rsidR="00F84A2B">
        <w:rPr>
          <w:lang w:val="en-GB"/>
        </w:rPr>
        <w:t>.</w:t>
      </w:r>
    </w:p>
    <w:p w14:paraId="26C74644" w14:textId="27B04C3D" w:rsidR="00F84A2B" w:rsidRPr="00F84A2B" w:rsidRDefault="00536931" w:rsidP="00F84A2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lang w:val="en-GB"/>
        </w:rPr>
      </w:pPr>
      <w:r w:rsidRPr="00536931">
        <w:rPr>
          <w:lang w:val="en-GB"/>
        </w:rPr>
        <w:t>R4-2313218</w:t>
      </w:r>
      <w:r w:rsidR="00F84A2B">
        <w:rPr>
          <w:lang w:val="en-GB"/>
        </w:rPr>
        <w:t>, “</w:t>
      </w:r>
      <w:r w:rsidRPr="00536931">
        <w:rPr>
          <w:lang w:val="en-GB"/>
        </w:rPr>
        <w:t>Preliminary mobile IAB and NR coexistence study</w:t>
      </w:r>
      <w:r w:rsidR="00F84A2B">
        <w:rPr>
          <w:lang w:val="en-GB"/>
        </w:rPr>
        <w:t>”, Qualcomm Inc., RAN4#10</w:t>
      </w:r>
      <w:r>
        <w:rPr>
          <w:lang w:val="en-GB"/>
        </w:rPr>
        <w:t>8</w:t>
      </w:r>
      <w:r w:rsidR="00F84A2B">
        <w:rPr>
          <w:lang w:val="en-GB"/>
        </w:rPr>
        <w:t>.</w:t>
      </w:r>
    </w:p>
    <w:p w14:paraId="777C8B50" w14:textId="7E045070" w:rsidR="000C2AD5" w:rsidRPr="00B867F2" w:rsidRDefault="003E6758" w:rsidP="00B12D4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</w:pPr>
      <w:r>
        <w:t xml:space="preserve">[3] </w:t>
      </w:r>
      <w:r>
        <w:tab/>
      </w:r>
      <w:r>
        <w:tab/>
      </w:r>
      <w:r w:rsidR="00781F25" w:rsidRPr="00781F25">
        <w:t>R4-2314490</w:t>
      </w:r>
      <w:r w:rsidR="00CA7FBC">
        <w:t>, “</w:t>
      </w:r>
      <w:r w:rsidR="005B3100" w:rsidRPr="005B3100">
        <w:t>Draft Big CR to TS 38.174 on RRM core requirements for NR Mobile IAB</w:t>
      </w:r>
      <w:r w:rsidR="00CA7FBC">
        <w:t>”</w:t>
      </w:r>
      <w:r w:rsidR="008C52A1">
        <w:t xml:space="preserve">, </w:t>
      </w:r>
      <w:r w:rsidR="00961EF4">
        <w:t>Qualcomm Inc., RAN4#108</w:t>
      </w:r>
      <w:r w:rsidR="008C52A1">
        <w:t>.</w:t>
      </w:r>
    </w:p>
    <w:p w14:paraId="1DCC3A81" w14:textId="2B9C5C3B" w:rsidR="00DB1FFB" w:rsidRPr="00A555ED" w:rsidRDefault="00DB1FFB" w:rsidP="000C2AD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5FD0B" w14:textId="77777777" w:rsidR="00771822" w:rsidRDefault="00771822">
      <w:r>
        <w:separator/>
      </w:r>
    </w:p>
  </w:endnote>
  <w:endnote w:type="continuationSeparator" w:id="0">
    <w:p w14:paraId="33A5A959" w14:textId="77777777" w:rsidR="00771822" w:rsidRDefault="00771822">
      <w:r>
        <w:continuationSeparator/>
      </w:r>
    </w:p>
  </w:endnote>
  <w:endnote w:type="continuationNotice" w:id="1">
    <w:p w14:paraId="445A7B06" w14:textId="77777777" w:rsidR="00771822" w:rsidRDefault="00771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DD8D3" w14:textId="77777777" w:rsidR="00771822" w:rsidRDefault="00771822">
      <w:r>
        <w:separator/>
      </w:r>
    </w:p>
  </w:footnote>
  <w:footnote w:type="continuationSeparator" w:id="0">
    <w:p w14:paraId="31E676C2" w14:textId="77777777" w:rsidR="00771822" w:rsidRDefault="00771822">
      <w:r>
        <w:continuationSeparator/>
      </w:r>
    </w:p>
  </w:footnote>
  <w:footnote w:type="continuationNotice" w:id="1">
    <w:p w14:paraId="0B53264E" w14:textId="77777777" w:rsidR="00771822" w:rsidRDefault="007718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 w15:restartNumberingAfterBreak="0">
    <w:nsid w:val="7A043C91"/>
    <w:multiLevelType w:val="hybridMultilevel"/>
    <w:tmpl w:val="A100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A5829"/>
    <w:multiLevelType w:val="hybridMultilevel"/>
    <w:tmpl w:val="76F894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C826AFE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174138">
    <w:abstractNumId w:val="10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6"/>
  </w:num>
  <w:num w:numId="5" w16cid:durableId="2037076463">
    <w:abstractNumId w:val="20"/>
  </w:num>
  <w:num w:numId="6" w16cid:durableId="545409791">
    <w:abstractNumId w:val="1"/>
  </w:num>
  <w:num w:numId="7" w16cid:durableId="1778476239">
    <w:abstractNumId w:val="7"/>
  </w:num>
  <w:num w:numId="8" w16cid:durableId="2055277018">
    <w:abstractNumId w:val="9"/>
  </w:num>
  <w:num w:numId="9" w16cid:durableId="393890915">
    <w:abstractNumId w:val="23"/>
  </w:num>
  <w:num w:numId="10" w16cid:durableId="642275322">
    <w:abstractNumId w:val="11"/>
  </w:num>
  <w:num w:numId="11" w16cid:durableId="1802267789">
    <w:abstractNumId w:val="8"/>
  </w:num>
  <w:num w:numId="12" w16cid:durableId="1870677644">
    <w:abstractNumId w:val="26"/>
  </w:num>
  <w:num w:numId="13" w16cid:durableId="2099910780">
    <w:abstractNumId w:val="22"/>
  </w:num>
  <w:num w:numId="14" w16cid:durableId="1757482684">
    <w:abstractNumId w:val="28"/>
  </w:num>
  <w:num w:numId="15" w16cid:durableId="294525783">
    <w:abstractNumId w:val="21"/>
  </w:num>
  <w:num w:numId="16" w16cid:durableId="2052269034">
    <w:abstractNumId w:val="12"/>
  </w:num>
  <w:num w:numId="17" w16cid:durableId="121585459">
    <w:abstractNumId w:val="14"/>
  </w:num>
  <w:num w:numId="18" w16cid:durableId="554316016">
    <w:abstractNumId w:val="19"/>
  </w:num>
  <w:num w:numId="19" w16cid:durableId="497624120">
    <w:abstractNumId w:val="19"/>
  </w:num>
  <w:num w:numId="20" w16cid:durableId="1526406008">
    <w:abstractNumId w:val="24"/>
  </w:num>
  <w:num w:numId="21" w16cid:durableId="40057187">
    <w:abstractNumId w:val="25"/>
  </w:num>
  <w:num w:numId="22" w16cid:durableId="728265408">
    <w:abstractNumId w:val="4"/>
  </w:num>
  <w:num w:numId="23" w16cid:durableId="1556697344">
    <w:abstractNumId w:val="15"/>
  </w:num>
  <w:num w:numId="24" w16cid:durableId="1791777505">
    <w:abstractNumId w:val="2"/>
  </w:num>
  <w:num w:numId="25" w16cid:durableId="748886584">
    <w:abstractNumId w:val="16"/>
  </w:num>
  <w:num w:numId="26" w16cid:durableId="1142042774">
    <w:abstractNumId w:val="3"/>
  </w:num>
  <w:num w:numId="27" w16cid:durableId="2131314735">
    <w:abstractNumId w:val="27"/>
  </w:num>
  <w:num w:numId="28" w16cid:durableId="1735542965">
    <w:abstractNumId w:val="5"/>
  </w:num>
  <w:num w:numId="29" w16cid:durableId="780224875">
    <w:abstractNumId w:val="17"/>
  </w:num>
  <w:num w:numId="30" w16cid:durableId="222912161">
    <w:abstractNumId w:val="30"/>
  </w:num>
  <w:num w:numId="31" w16cid:durableId="1231385547">
    <w:abstractNumId w:val="29"/>
  </w:num>
  <w:num w:numId="32" w16cid:durableId="26025193">
    <w:abstractNumId w:val="13"/>
  </w:num>
  <w:num w:numId="33" w16cid:durableId="1252273000">
    <w:abstractNumId w:val="18"/>
  </w:num>
  <w:num w:numId="34" w16cid:durableId="49128946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9C8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4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4F"/>
    <w:rsid w:val="00010FD1"/>
    <w:rsid w:val="0001117C"/>
    <w:rsid w:val="000111D9"/>
    <w:rsid w:val="00011408"/>
    <w:rsid w:val="00011474"/>
    <w:rsid w:val="00011562"/>
    <w:rsid w:val="00011866"/>
    <w:rsid w:val="000119C7"/>
    <w:rsid w:val="00011C04"/>
    <w:rsid w:val="00011F57"/>
    <w:rsid w:val="000121B3"/>
    <w:rsid w:val="0001233E"/>
    <w:rsid w:val="000124D1"/>
    <w:rsid w:val="00012A91"/>
    <w:rsid w:val="00012ABA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7E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E31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2EA3"/>
    <w:rsid w:val="0004303B"/>
    <w:rsid w:val="000430CF"/>
    <w:rsid w:val="00043143"/>
    <w:rsid w:val="00043407"/>
    <w:rsid w:val="00043461"/>
    <w:rsid w:val="00043547"/>
    <w:rsid w:val="000436D5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AB4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4D2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03B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A98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CCD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D45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3D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27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6F6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09F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7DB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9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8FE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C9F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54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A1D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35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99A"/>
    <w:rsid w:val="00106A1C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0A"/>
    <w:rsid w:val="00112E14"/>
    <w:rsid w:val="00112F58"/>
    <w:rsid w:val="0011303D"/>
    <w:rsid w:val="0011323B"/>
    <w:rsid w:val="001134DA"/>
    <w:rsid w:val="0011372B"/>
    <w:rsid w:val="00113D8F"/>
    <w:rsid w:val="00113DA9"/>
    <w:rsid w:val="001140FA"/>
    <w:rsid w:val="001141CF"/>
    <w:rsid w:val="00114379"/>
    <w:rsid w:val="001146A3"/>
    <w:rsid w:val="001146C6"/>
    <w:rsid w:val="001147B8"/>
    <w:rsid w:val="0011481C"/>
    <w:rsid w:val="00114949"/>
    <w:rsid w:val="00114D5C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C79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48E"/>
    <w:rsid w:val="00135517"/>
    <w:rsid w:val="00135829"/>
    <w:rsid w:val="00135884"/>
    <w:rsid w:val="001358A7"/>
    <w:rsid w:val="001358F4"/>
    <w:rsid w:val="00135D53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12F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CB9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537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B14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9C"/>
    <w:rsid w:val="001661BF"/>
    <w:rsid w:val="0016634F"/>
    <w:rsid w:val="00166522"/>
    <w:rsid w:val="00166809"/>
    <w:rsid w:val="0016680E"/>
    <w:rsid w:val="00166879"/>
    <w:rsid w:val="001669F9"/>
    <w:rsid w:val="00166B01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DF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67A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6E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C7D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504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084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B91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3C3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5D3E"/>
    <w:rsid w:val="001E618C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8A1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CA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8DC"/>
    <w:rsid w:val="00204981"/>
    <w:rsid w:val="00204A5A"/>
    <w:rsid w:val="00204C12"/>
    <w:rsid w:val="00204C44"/>
    <w:rsid w:val="00204C7B"/>
    <w:rsid w:val="002051E1"/>
    <w:rsid w:val="0020523A"/>
    <w:rsid w:val="002052C6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3D8"/>
    <w:rsid w:val="0021065B"/>
    <w:rsid w:val="00210798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716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95E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5DF0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57A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455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8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01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ABD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9E6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DE2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938"/>
    <w:rsid w:val="002C2AE9"/>
    <w:rsid w:val="002C2B29"/>
    <w:rsid w:val="002C2CC5"/>
    <w:rsid w:val="002C2CE6"/>
    <w:rsid w:val="002C2E8A"/>
    <w:rsid w:val="002C2FCD"/>
    <w:rsid w:val="002C3A4E"/>
    <w:rsid w:val="002C3AE4"/>
    <w:rsid w:val="002C3AE6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65F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B72"/>
    <w:rsid w:val="002D2BB3"/>
    <w:rsid w:val="002D2D62"/>
    <w:rsid w:val="002D305F"/>
    <w:rsid w:val="002D3576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440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3D0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D22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754"/>
    <w:rsid w:val="002F5874"/>
    <w:rsid w:val="002F5881"/>
    <w:rsid w:val="002F5A1E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1B8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3C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BA4"/>
    <w:rsid w:val="00307ED5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1E45"/>
    <w:rsid w:val="0031205E"/>
    <w:rsid w:val="00312709"/>
    <w:rsid w:val="003129AB"/>
    <w:rsid w:val="003129CC"/>
    <w:rsid w:val="00312D40"/>
    <w:rsid w:val="00313205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81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66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336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B33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4EE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874"/>
    <w:rsid w:val="00343C24"/>
    <w:rsid w:val="00343FA6"/>
    <w:rsid w:val="003446D1"/>
    <w:rsid w:val="00344725"/>
    <w:rsid w:val="00344901"/>
    <w:rsid w:val="00344B8C"/>
    <w:rsid w:val="00344E3B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368"/>
    <w:rsid w:val="0034744E"/>
    <w:rsid w:val="0034745C"/>
    <w:rsid w:val="003474CD"/>
    <w:rsid w:val="00347621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3FDC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2E00"/>
    <w:rsid w:val="00373058"/>
    <w:rsid w:val="003739AC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26D"/>
    <w:rsid w:val="003764FA"/>
    <w:rsid w:val="0037655D"/>
    <w:rsid w:val="00376838"/>
    <w:rsid w:val="00376A13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1B48"/>
    <w:rsid w:val="00381F98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0F80"/>
    <w:rsid w:val="0039122C"/>
    <w:rsid w:val="0039124D"/>
    <w:rsid w:val="003914DB"/>
    <w:rsid w:val="0039160A"/>
    <w:rsid w:val="00391A92"/>
    <w:rsid w:val="00391A9A"/>
    <w:rsid w:val="00391C99"/>
    <w:rsid w:val="00391FCE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C8"/>
    <w:rsid w:val="00397177"/>
    <w:rsid w:val="00397292"/>
    <w:rsid w:val="003976DD"/>
    <w:rsid w:val="003978B8"/>
    <w:rsid w:val="00397AD4"/>
    <w:rsid w:val="00397C89"/>
    <w:rsid w:val="00397E48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8D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2E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429"/>
    <w:rsid w:val="003E6592"/>
    <w:rsid w:val="003E6758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C4C"/>
    <w:rsid w:val="003F7DFF"/>
    <w:rsid w:val="003F7E5C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2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1E7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9E9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311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109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2C"/>
    <w:rsid w:val="004442A7"/>
    <w:rsid w:val="00444373"/>
    <w:rsid w:val="00444783"/>
    <w:rsid w:val="00444901"/>
    <w:rsid w:val="00444934"/>
    <w:rsid w:val="00444D11"/>
    <w:rsid w:val="00444D1F"/>
    <w:rsid w:val="00444DA9"/>
    <w:rsid w:val="00444E10"/>
    <w:rsid w:val="00444E88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16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368"/>
    <w:rsid w:val="00465467"/>
    <w:rsid w:val="00465573"/>
    <w:rsid w:val="00465914"/>
    <w:rsid w:val="00465947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61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7D9"/>
    <w:rsid w:val="004818C9"/>
    <w:rsid w:val="004818FF"/>
    <w:rsid w:val="00481AF0"/>
    <w:rsid w:val="00481BB3"/>
    <w:rsid w:val="00481FC5"/>
    <w:rsid w:val="0048215F"/>
    <w:rsid w:val="0048224C"/>
    <w:rsid w:val="00482389"/>
    <w:rsid w:val="00482457"/>
    <w:rsid w:val="004826B1"/>
    <w:rsid w:val="00482869"/>
    <w:rsid w:val="00482943"/>
    <w:rsid w:val="00482ADC"/>
    <w:rsid w:val="00482C93"/>
    <w:rsid w:val="00482E26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4C0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875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97CDF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3A3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B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AED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338"/>
    <w:rsid w:val="004C47FE"/>
    <w:rsid w:val="004C4AB1"/>
    <w:rsid w:val="004C4B9F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32D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141"/>
    <w:rsid w:val="004E355C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5D88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73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08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68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7F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931"/>
    <w:rsid w:val="00536AEE"/>
    <w:rsid w:val="00536D47"/>
    <w:rsid w:val="00537092"/>
    <w:rsid w:val="00537440"/>
    <w:rsid w:val="00537640"/>
    <w:rsid w:val="00537989"/>
    <w:rsid w:val="00537AEC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27E"/>
    <w:rsid w:val="005433D9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153"/>
    <w:rsid w:val="00546310"/>
    <w:rsid w:val="00546334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4C5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A9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9AD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4F17"/>
    <w:rsid w:val="005651DA"/>
    <w:rsid w:val="00565857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60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088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7E2"/>
    <w:rsid w:val="00586B34"/>
    <w:rsid w:val="00587117"/>
    <w:rsid w:val="00587229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A9D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DF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20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9C"/>
    <w:rsid w:val="005A33ED"/>
    <w:rsid w:val="005A36DF"/>
    <w:rsid w:val="005A36E3"/>
    <w:rsid w:val="005A377E"/>
    <w:rsid w:val="005A386D"/>
    <w:rsid w:val="005A3A31"/>
    <w:rsid w:val="005A3B13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100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9D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A97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730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37A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188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5B6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C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DE6"/>
    <w:rsid w:val="005F1EA8"/>
    <w:rsid w:val="005F1FE4"/>
    <w:rsid w:val="005F2528"/>
    <w:rsid w:val="005F277B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5BF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4F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86B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AC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85D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8C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5BE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6E9"/>
    <w:rsid w:val="006657FE"/>
    <w:rsid w:val="006659B0"/>
    <w:rsid w:val="00665AF0"/>
    <w:rsid w:val="00665BFF"/>
    <w:rsid w:val="00665CCE"/>
    <w:rsid w:val="00665DD4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1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0C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AD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542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A3B"/>
    <w:rsid w:val="00686FAD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B1E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124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538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0AF2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11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77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40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C28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721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BD"/>
    <w:rsid w:val="00706AC2"/>
    <w:rsid w:val="00706CEB"/>
    <w:rsid w:val="00706ED0"/>
    <w:rsid w:val="007071B8"/>
    <w:rsid w:val="00707376"/>
    <w:rsid w:val="0070743B"/>
    <w:rsid w:val="00707506"/>
    <w:rsid w:val="0070761D"/>
    <w:rsid w:val="00707963"/>
    <w:rsid w:val="00707CC2"/>
    <w:rsid w:val="00707D9C"/>
    <w:rsid w:val="00707EC9"/>
    <w:rsid w:val="00707EF4"/>
    <w:rsid w:val="007101EE"/>
    <w:rsid w:val="007103A7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7B4"/>
    <w:rsid w:val="007117BA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7C8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72D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3CC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695"/>
    <w:rsid w:val="00725CB6"/>
    <w:rsid w:val="00725CDC"/>
    <w:rsid w:val="007260BB"/>
    <w:rsid w:val="00726281"/>
    <w:rsid w:val="00726424"/>
    <w:rsid w:val="0072650B"/>
    <w:rsid w:val="00726537"/>
    <w:rsid w:val="00726640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4B0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732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A40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7D3"/>
    <w:rsid w:val="007478B5"/>
    <w:rsid w:val="00747A78"/>
    <w:rsid w:val="00747BCF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8C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2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822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660"/>
    <w:rsid w:val="007739C9"/>
    <w:rsid w:val="00773EC7"/>
    <w:rsid w:val="0077407A"/>
    <w:rsid w:val="00774086"/>
    <w:rsid w:val="007743A1"/>
    <w:rsid w:val="007744EF"/>
    <w:rsid w:val="007750E4"/>
    <w:rsid w:val="007751BE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9E9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302"/>
    <w:rsid w:val="0078146E"/>
    <w:rsid w:val="0078165E"/>
    <w:rsid w:val="007816FD"/>
    <w:rsid w:val="00781B56"/>
    <w:rsid w:val="00781B9A"/>
    <w:rsid w:val="00781BC7"/>
    <w:rsid w:val="00781DAD"/>
    <w:rsid w:val="00781F25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C49"/>
    <w:rsid w:val="00787FF1"/>
    <w:rsid w:val="00790050"/>
    <w:rsid w:val="0079042F"/>
    <w:rsid w:val="00790542"/>
    <w:rsid w:val="00790867"/>
    <w:rsid w:val="00790C7C"/>
    <w:rsid w:val="00790CC6"/>
    <w:rsid w:val="00790F49"/>
    <w:rsid w:val="00791103"/>
    <w:rsid w:val="00791190"/>
    <w:rsid w:val="0079128B"/>
    <w:rsid w:val="007912B5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CBD"/>
    <w:rsid w:val="00796DD1"/>
    <w:rsid w:val="00796E42"/>
    <w:rsid w:val="00796E6A"/>
    <w:rsid w:val="00796F3C"/>
    <w:rsid w:val="0079719B"/>
    <w:rsid w:val="007973B3"/>
    <w:rsid w:val="00797614"/>
    <w:rsid w:val="007978B1"/>
    <w:rsid w:val="00797C60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51E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E6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260"/>
    <w:rsid w:val="007C26FF"/>
    <w:rsid w:val="007C2929"/>
    <w:rsid w:val="007C2A39"/>
    <w:rsid w:val="007C2AAF"/>
    <w:rsid w:val="007C2BE4"/>
    <w:rsid w:val="007C2FA3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8B7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36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3F84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7D4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1AB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17E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4FA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D83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B3C"/>
    <w:rsid w:val="00872C7C"/>
    <w:rsid w:val="00872C87"/>
    <w:rsid w:val="00872D44"/>
    <w:rsid w:val="00872D63"/>
    <w:rsid w:val="00872E3E"/>
    <w:rsid w:val="00872F39"/>
    <w:rsid w:val="0087310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4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E5D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557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A7C04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58B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3F95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61F"/>
    <w:rsid w:val="008C570A"/>
    <w:rsid w:val="008C59D5"/>
    <w:rsid w:val="008C5B10"/>
    <w:rsid w:val="008C5CB5"/>
    <w:rsid w:val="008C5FA3"/>
    <w:rsid w:val="008C626C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D47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3A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2CA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BC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7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160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6F3A"/>
    <w:rsid w:val="00907071"/>
    <w:rsid w:val="0090713C"/>
    <w:rsid w:val="0090715C"/>
    <w:rsid w:val="009076AC"/>
    <w:rsid w:val="00907B0D"/>
    <w:rsid w:val="00907BC7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AAE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0FCD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8B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EF4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145"/>
    <w:rsid w:val="009A0212"/>
    <w:rsid w:val="009A031F"/>
    <w:rsid w:val="009A0325"/>
    <w:rsid w:val="009A0363"/>
    <w:rsid w:val="009A0874"/>
    <w:rsid w:val="009A0877"/>
    <w:rsid w:val="009A0944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83D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20C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6EAD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876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0F1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693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8DF"/>
    <w:rsid w:val="009E3C31"/>
    <w:rsid w:val="009E43CA"/>
    <w:rsid w:val="009E43E0"/>
    <w:rsid w:val="009E457F"/>
    <w:rsid w:val="009E47F2"/>
    <w:rsid w:val="009E4EC6"/>
    <w:rsid w:val="009E4FCC"/>
    <w:rsid w:val="009E50BC"/>
    <w:rsid w:val="009E52E2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403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9F5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799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4EDC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C23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11A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E8D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441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90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71D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5F3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C2B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62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2BB"/>
    <w:rsid w:val="00AA5584"/>
    <w:rsid w:val="00AA576F"/>
    <w:rsid w:val="00AA57B8"/>
    <w:rsid w:val="00AA6026"/>
    <w:rsid w:val="00AA6206"/>
    <w:rsid w:val="00AA621F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91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3A9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6CFB"/>
    <w:rsid w:val="00AC714F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1B2"/>
    <w:rsid w:val="00AE04AA"/>
    <w:rsid w:val="00AE094E"/>
    <w:rsid w:val="00AE0B2D"/>
    <w:rsid w:val="00AE0D23"/>
    <w:rsid w:val="00AE0E9E"/>
    <w:rsid w:val="00AE1175"/>
    <w:rsid w:val="00AE11B7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67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37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4C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8B1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2BA8"/>
    <w:rsid w:val="00B02C2E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6EFA"/>
    <w:rsid w:val="00B070CA"/>
    <w:rsid w:val="00B07189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4C"/>
    <w:rsid w:val="00B12D84"/>
    <w:rsid w:val="00B12F7F"/>
    <w:rsid w:val="00B13003"/>
    <w:rsid w:val="00B130D8"/>
    <w:rsid w:val="00B134F4"/>
    <w:rsid w:val="00B137BE"/>
    <w:rsid w:val="00B137D6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5FEB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9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0F84"/>
    <w:rsid w:val="00B4110D"/>
    <w:rsid w:val="00B411A3"/>
    <w:rsid w:val="00B412CB"/>
    <w:rsid w:val="00B41582"/>
    <w:rsid w:val="00B415E4"/>
    <w:rsid w:val="00B416D8"/>
    <w:rsid w:val="00B41B34"/>
    <w:rsid w:val="00B41DE6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ABE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9D3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2ECC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EFA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13A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A81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155"/>
    <w:rsid w:val="00B84411"/>
    <w:rsid w:val="00B8447B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47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7D9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6D9"/>
    <w:rsid w:val="00BB4A1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1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C93"/>
    <w:rsid w:val="00BE2E4B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8C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8F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3CB4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569"/>
    <w:rsid w:val="00C076D3"/>
    <w:rsid w:val="00C0784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ED7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0C1"/>
    <w:rsid w:val="00C2136B"/>
    <w:rsid w:val="00C21526"/>
    <w:rsid w:val="00C217D8"/>
    <w:rsid w:val="00C21A8D"/>
    <w:rsid w:val="00C21B75"/>
    <w:rsid w:val="00C21DE4"/>
    <w:rsid w:val="00C2214D"/>
    <w:rsid w:val="00C222F0"/>
    <w:rsid w:val="00C22428"/>
    <w:rsid w:val="00C226CE"/>
    <w:rsid w:val="00C22859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373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977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9D"/>
    <w:rsid w:val="00C502CA"/>
    <w:rsid w:val="00C505D3"/>
    <w:rsid w:val="00C506A8"/>
    <w:rsid w:val="00C50728"/>
    <w:rsid w:val="00C508B7"/>
    <w:rsid w:val="00C509D3"/>
    <w:rsid w:val="00C50FD6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275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BA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74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AF1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867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2E17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51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2CC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06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02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59C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C7FFB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B07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4D9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335"/>
    <w:rsid w:val="00CF6522"/>
    <w:rsid w:val="00CF6650"/>
    <w:rsid w:val="00CF66DE"/>
    <w:rsid w:val="00CF6848"/>
    <w:rsid w:val="00CF690F"/>
    <w:rsid w:val="00CF6AF3"/>
    <w:rsid w:val="00CF6B46"/>
    <w:rsid w:val="00CF6C12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00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EFD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564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2E17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C3B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545"/>
    <w:rsid w:val="00D2077B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694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6F50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8A7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F05"/>
    <w:rsid w:val="00D610FA"/>
    <w:rsid w:val="00D611E4"/>
    <w:rsid w:val="00D61697"/>
    <w:rsid w:val="00D616EC"/>
    <w:rsid w:val="00D61B43"/>
    <w:rsid w:val="00D61B68"/>
    <w:rsid w:val="00D61DA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2BF"/>
    <w:rsid w:val="00D6447E"/>
    <w:rsid w:val="00D645BF"/>
    <w:rsid w:val="00D646E1"/>
    <w:rsid w:val="00D647F9"/>
    <w:rsid w:val="00D6485C"/>
    <w:rsid w:val="00D6498E"/>
    <w:rsid w:val="00D64CB8"/>
    <w:rsid w:val="00D65404"/>
    <w:rsid w:val="00D6575A"/>
    <w:rsid w:val="00D65837"/>
    <w:rsid w:val="00D65DD6"/>
    <w:rsid w:val="00D65EE3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A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D86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22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7B6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49B8"/>
    <w:rsid w:val="00D85278"/>
    <w:rsid w:val="00D857AD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78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98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4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86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3BD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0E66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515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68D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88F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6C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857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AE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671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C01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8E"/>
    <w:rsid w:val="00E46BB4"/>
    <w:rsid w:val="00E46CC9"/>
    <w:rsid w:val="00E47D5F"/>
    <w:rsid w:val="00E47D96"/>
    <w:rsid w:val="00E47E78"/>
    <w:rsid w:val="00E5041E"/>
    <w:rsid w:val="00E50514"/>
    <w:rsid w:val="00E50875"/>
    <w:rsid w:val="00E508D6"/>
    <w:rsid w:val="00E50C1E"/>
    <w:rsid w:val="00E50DDF"/>
    <w:rsid w:val="00E510E8"/>
    <w:rsid w:val="00E5123E"/>
    <w:rsid w:val="00E512A3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CC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33E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9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7C1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6AF"/>
    <w:rsid w:val="00E77AB8"/>
    <w:rsid w:val="00E77FEE"/>
    <w:rsid w:val="00E8004E"/>
    <w:rsid w:val="00E80128"/>
    <w:rsid w:val="00E8016D"/>
    <w:rsid w:val="00E805F2"/>
    <w:rsid w:val="00E80BA0"/>
    <w:rsid w:val="00E80E2F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4EF7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0FA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8D2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5D"/>
    <w:rsid w:val="00EA5C13"/>
    <w:rsid w:val="00EA6132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02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50D"/>
    <w:rsid w:val="00EB1705"/>
    <w:rsid w:val="00EB1784"/>
    <w:rsid w:val="00EB19F9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240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E6"/>
    <w:rsid w:val="00EC07F3"/>
    <w:rsid w:val="00EC0839"/>
    <w:rsid w:val="00EC0AEE"/>
    <w:rsid w:val="00EC0C51"/>
    <w:rsid w:val="00EC0FF6"/>
    <w:rsid w:val="00EC111C"/>
    <w:rsid w:val="00EC114F"/>
    <w:rsid w:val="00EC11FA"/>
    <w:rsid w:val="00EC138C"/>
    <w:rsid w:val="00EC13D7"/>
    <w:rsid w:val="00EC183D"/>
    <w:rsid w:val="00EC1974"/>
    <w:rsid w:val="00EC1A0B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77"/>
    <w:rsid w:val="00EC4D7B"/>
    <w:rsid w:val="00EC4E2E"/>
    <w:rsid w:val="00EC50CC"/>
    <w:rsid w:val="00EC555C"/>
    <w:rsid w:val="00EC59C1"/>
    <w:rsid w:val="00EC5A94"/>
    <w:rsid w:val="00EC5F3D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63F"/>
    <w:rsid w:val="00ED4834"/>
    <w:rsid w:val="00ED484F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2E95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0F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DD3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6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4FE9"/>
    <w:rsid w:val="00F1528A"/>
    <w:rsid w:val="00F15804"/>
    <w:rsid w:val="00F15841"/>
    <w:rsid w:val="00F158C9"/>
    <w:rsid w:val="00F1643F"/>
    <w:rsid w:val="00F164A1"/>
    <w:rsid w:val="00F165FF"/>
    <w:rsid w:val="00F16772"/>
    <w:rsid w:val="00F16800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32A"/>
    <w:rsid w:val="00F2357F"/>
    <w:rsid w:val="00F23B99"/>
    <w:rsid w:val="00F23BD0"/>
    <w:rsid w:val="00F23D7A"/>
    <w:rsid w:val="00F23FCA"/>
    <w:rsid w:val="00F24108"/>
    <w:rsid w:val="00F2438E"/>
    <w:rsid w:val="00F2456B"/>
    <w:rsid w:val="00F2457D"/>
    <w:rsid w:val="00F24669"/>
    <w:rsid w:val="00F2485B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5FB6"/>
    <w:rsid w:val="00F26115"/>
    <w:rsid w:val="00F2617C"/>
    <w:rsid w:val="00F26273"/>
    <w:rsid w:val="00F2643A"/>
    <w:rsid w:val="00F26886"/>
    <w:rsid w:val="00F2699C"/>
    <w:rsid w:val="00F27000"/>
    <w:rsid w:val="00F277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DFA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753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D16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8D9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B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DC7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6E75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937"/>
    <w:rsid w:val="00FB4D87"/>
    <w:rsid w:val="00FB5201"/>
    <w:rsid w:val="00FB52FD"/>
    <w:rsid w:val="00FB5600"/>
    <w:rsid w:val="00FB5657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FF0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2E3"/>
    <w:rsid w:val="00FD53A8"/>
    <w:rsid w:val="00FD55E1"/>
    <w:rsid w:val="00FD5618"/>
    <w:rsid w:val="00FD5999"/>
    <w:rsid w:val="00FD5A65"/>
    <w:rsid w:val="00FD5AD3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65E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4D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404F4F7B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  <w:style w:type="character" w:customStyle="1" w:styleId="B1Char">
    <w:name w:val="B1 Char"/>
    <w:rsid w:val="009B6EAD"/>
    <w:rPr>
      <w:lang w:val="en-GB" w:eastAsia="en-US" w:bidi="ar-SA"/>
    </w:rPr>
  </w:style>
  <w:style w:type="character" w:customStyle="1" w:styleId="TALCar">
    <w:name w:val="TAL Car"/>
    <w:rsid w:val="00B40F8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408A7"/>
    <w:rPr>
      <w:rFonts w:ascii="Arial" w:hAnsi="Arial"/>
      <w:sz w:val="18"/>
      <w:lang w:eastAsia="en-US"/>
    </w:rPr>
  </w:style>
  <w:style w:type="table" w:styleId="GridTable2-Accent1">
    <w:name w:val="Grid Table 2 Accent 1"/>
    <w:basedOn w:val="TableNormal"/>
    <w:uiPriority w:val="47"/>
    <w:rsid w:val="007069BD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7069B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RCoverPageChar">
    <w:name w:val="CR Cover Page Char"/>
    <w:link w:val="CRCoverPage"/>
    <w:rsid w:val="000C36F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633</Words>
  <Characters>3614</Characters>
  <Application>Microsoft Office Word</Application>
  <DocSecurity>0</DocSecurity>
  <Lines>30</Lines>
  <Paragraphs>8</Paragraphs>
  <ScaleCrop>false</ScaleCrop>
  <Company>Qualcomm Inc.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671</cp:revision>
  <cp:lastPrinted>2022-04-26T14:02:00Z</cp:lastPrinted>
  <dcterms:created xsi:type="dcterms:W3CDTF">2022-04-30T15:02:00Z</dcterms:created>
  <dcterms:modified xsi:type="dcterms:W3CDTF">2023-09-27T11:27:00Z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